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BD" w:rsidRDefault="004E55BD" w:rsidP="004E55BD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4E55BD" w:rsidRPr="003F2411" w:rsidRDefault="004E55BD" w:rsidP="004E55B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4E55BD" w:rsidTr="004E55BD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4E55BD" w:rsidRDefault="004E55BD" w:rsidP="004E55B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11 августа 2017  г.</w:t>
            </w:r>
          </w:p>
        </w:tc>
        <w:tc>
          <w:tcPr>
            <w:tcW w:w="3219" w:type="dxa"/>
          </w:tcPr>
          <w:p w:rsidR="004E55BD" w:rsidRDefault="004E55BD" w:rsidP="004E55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E55BD" w:rsidRDefault="004E55BD" w:rsidP="004E55BD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E55BD" w:rsidRDefault="004E55BD" w:rsidP="004E55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4E55BD" w:rsidRDefault="004E55BD" w:rsidP="004E55BD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07/23</w:t>
            </w:r>
          </w:p>
        </w:tc>
      </w:tr>
    </w:tbl>
    <w:p w:rsidR="004E55BD" w:rsidRDefault="004E55BD" w:rsidP="004E55B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E55BD" w:rsidTr="004E55BD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E55BD" w:rsidRDefault="004E55BD" w:rsidP="004E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E71DAC">
              <w:rPr>
                <w:b/>
                <w:bCs/>
                <w:sz w:val="28"/>
                <w:szCs w:val="28"/>
              </w:rPr>
              <w:t xml:space="preserve">О количестве избирательных бюллетеней для голосования </w:t>
            </w:r>
          </w:p>
          <w:p w:rsidR="004E55BD" w:rsidRDefault="004E55BD" w:rsidP="004E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E71DAC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 xml:space="preserve">выборах 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Верхнекетского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района, 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Сайгинского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поселения, депутатов Советов поселений</w:t>
            </w:r>
          </w:p>
          <w:p w:rsidR="004E55BD" w:rsidRDefault="004E55BD" w:rsidP="004E55BD">
            <w:pPr>
              <w:pStyle w:val="1"/>
              <w:jc w:val="left"/>
            </w:pPr>
          </w:p>
        </w:tc>
      </w:tr>
    </w:tbl>
    <w:p w:rsidR="004E55BD" w:rsidRPr="00F33ED4" w:rsidRDefault="004E55BD" w:rsidP="004E55BD">
      <w:pPr>
        <w:jc w:val="center"/>
      </w:pPr>
    </w:p>
    <w:p w:rsidR="004E55BD" w:rsidRPr="00E578D3" w:rsidRDefault="004E55BD" w:rsidP="004E5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578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578D3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59</w:t>
      </w:r>
      <w:r w:rsidRPr="00E578D3">
        <w:rPr>
          <w:sz w:val="28"/>
          <w:szCs w:val="28"/>
        </w:rPr>
        <w:t xml:space="preserve"> Закона Томской области</w:t>
      </w:r>
      <w:r>
        <w:rPr>
          <w:sz w:val="28"/>
          <w:szCs w:val="28"/>
        </w:rPr>
        <w:t xml:space="preserve"> № 29-ОЗ от 24.02.2015 года </w:t>
      </w:r>
      <w:r w:rsidRPr="00E578D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муниципальных выборах в Томской </w:t>
      </w:r>
      <w:r w:rsidRPr="00E578D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решениями Избирательной комиссии Томской </w:t>
      </w:r>
      <w:proofErr w:type="spellStart"/>
      <w:r>
        <w:rPr>
          <w:sz w:val="28"/>
          <w:szCs w:val="28"/>
        </w:rPr>
        <w:t>онбласти</w:t>
      </w:r>
      <w:proofErr w:type="spellEnd"/>
      <w:r>
        <w:rPr>
          <w:sz w:val="28"/>
          <w:szCs w:val="28"/>
        </w:rPr>
        <w:t xml:space="preserve"> от 29 мая 2012 года №116/752 «О возложении полномочий избирательных комиссий муниципальных образований на территориальную избирательную комиссию», от 6 декабря 2006 года №40/267 «О возложении на территориальную избирательную комиссию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полномочий избирательной комиссии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</w:t>
      </w:r>
    </w:p>
    <w:p w:rsidR="004E55BD" w:rsidRDefault="004E55BD" w:rsidP="004E55B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Верхнекетского района решила:</w:t>
      </w:r>
    </w:p>
    <w:p w:rsidR="004E55BD" w:rsidRPr="00E71DAC" w:rsidRDefault="004E55BD" w:rsidP="004E5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1DAC">
        <w:rPr>
          <w:sz w:val="28"/>
          <w:szCs w:val="28"/>
        </w:rPr>
        <w:t xml:space="preserve">Утвердить количество избирательных бюллетеней для голосования на </w:t>
      </w:r>
      <w:r>
        <w:rPr>
          <w:bCs/>
          <w:sz w:val="28"/>
          <w:szCs w:val="28"/>
        </w:rPr>
        <w:t xml:space="preserve">выборах Главы </w:t>
      </w:r>
      <w:proofErr w:type="spellStart"/>
      <w:r>
        <w:rPr>
          <w:bCs/>
          <w:sz w:val="28"/>
          <w:szCs w:val="28"/>
        </w:rPr>
        <w:t>Верхнекетского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F74D62">
        <w:rPr>
          <w:sz w:val="28"/>
          <w:szCs w:val="28"/>
        </w:rPr>
        <w:t xml:space="preserve"> –</w:t>
      </w:r>
      <w:r>
        <w:rPr>
          <w:sz w:val="28"/>
          <w:szCs w:val="28"/>
        </w:rPr>
        <w:t>13300</w:t>
      </w:r>
      <w:r w:rsidRPr="00F74D62">
        <w:rPr>
          <w:sz w:val="28"/>
          <w:szCs w:val="28"/>
        </w:rPr>
        <w:t xml:space="preserve">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DAC">
        <w:rPr>
          <w:sz w:val="28"/>
          <w:szCs w:val="28"/>
        </w:rPr>
        <w:t xml:space="preserve">Распределить </w:t>
      </w:r>
      <w:r>
        <w:rPr>
          <w:sz w:val="28"/>
          <w:szCs w:val="28"/>
        </w:rPr>
        <w:t>участковым</w:t>
      </w:r>
      <w:r w:rsidRPr="00E71DAC">
        <w:rPr>
          <w:sz w:val="28"/>
          <w:szCs w:val="28"/>
        </w:rPr>
        <w:t xml:space="preserve"> избирательным комиссиям</w:t>
      </w:r>
      <w:r>
        <w:rPr>
          <w:sz w:val="28"/>
          <w:szCs w:val="28"/>
        </w:rPr>
        <w:t xml:space="preserve"> №410-425</w:t>
      </w:r>
      <w:r w:rsidRPr="00E71DAC">
        <w:rPr>
          <w:sz w:val="28"/>
          <w:szCs w:val="28"/>
        </w:rPr>
        <w:t xml:space="preserve"> избирательные бюллетени для голосования на </w:t>
      </w:r>
      <w:r w:rsidRPr="0040017B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Верхнекетского</w:t>
      </w:r>
      <w:proofErr w:type="spellEnd"/>
      <w:r>
        <w:rPr>
          <w:bCs/>
          <w:sz w:val="28"/>
          <w:szCs w:val="28"/>
        </w:rPr>
        <w:t xml:space="preserve"> района согласно приложению 1 к настоящему решению</w:t>
      </w:r>
      <w:r w:rsidRPr="009A5793">
        <w:rPr>
          <w:sz w:val="28"/>
          <w:szCs w:val="28"/>
        </w:rPr>
        <w:t>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количество избирательных бюллетеней для голосования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– 760 штук, на выборах 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– 760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Распределить участковой избирательной комиссии №422 избирательные бюллетени для голосования на выборах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поселения, 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согласно приложению 2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количество избирательных бюллетеней для голосования на выборах депутатов Советов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– 3470 штук,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– 3320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Распределить количество избирательных бюллетеней для голосования на выборах депутатов Совета Белоярского городского поселения согласно приложению 3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Утвердить количество избирательных бюллетеней  для голосования на выборах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– 1130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– 1670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</w:pPr>
      <w:r>
        <w:rPr>
          <w:sz w:val="28"/>
          <w:szCs w:val="28"/>
        </w:rPr>
        <w:t xml:space="preserve">10.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5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– 1090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6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количество избирательных бюллетеней для голосования на выборах депутатов Совета Орловского сельского поселения 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№1 – 245 штук,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№2- 182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 Распределить количество избирательных бюллетеней для голосования на выборах депутатов Совета Орловского сельского поселения согласно приложению 7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Утвердить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– 5</w:t>
      </w:r>
      <w:r w:rsidRPr="00CA1B27">
        <w:rPr>
          <w:sz w:val="28"/>
          <w:szCs w:val="28"/>
        </w:rPr>
        <w:t>60</w:t>
      </w:r>
      <w:r>
        <w:rPr>
          <w:sz w:val="28"/>
          <w:szCs w:val="28"/>
        </w:rPr>
        <w:t xml:space="preserve"> штук,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№2 - 148.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– 289 штук, по двухмандатному избирательному округу №2 - 104.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9 к настоящему решению.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Утвердить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– 290 штук.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Распределить количество избирательных бюллетеней для голосования на выборах 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10 к настоящему решению.</w:t>
      </w:r>
    </w:p>
    <w:p w:rsidR="004E55BD" w:rsidRDefault="004E55BD" w:rsidP="004E55BD">
      <w:pPr>
        <w:keepNext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21.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E55BD" w:rsidRPr="00290743" w:rsidRDefault="004E55BD" w:rsidP="004E5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>22.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E55BD" w:rsidRDefault="004E55BD" w:rsidP="004E55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4E55BD" w:rsidRDefault="004E55BD" w:rsidP="004E55BD">
      <w:pPr>
        <w:spacing w:line="360" w:lineRule="auto"/>
        <w:ind w:firstLine="540"/>
        <w:jc w:val="both"/>
        <w:rPr>
          <w:sz w:val="18"/>
          <w:szCs w:val="18"/>
        </w:rPr>
      </w:pPr>
      <w:r w:rsidRPr="00E578D3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E55BD" w:rsidTr="004E55BD">
        <w:trPr>
          <w:jc w:val="center"/>
        </w:trPr>
        <w:tc>
          <w:tcPr>
            <w:tcW w:w="4317" w:type="dxa"/>
          </w:tcPr>
          <w:p w:rsidR="004E55BD" w:rsidRDefault="004E55BD" w:rsidP="004E55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E55BD" w:rsidRDefault="004E55BD" w:rsidP="004E55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E55BD" w:rsidRDefault="004E55BD" w:rsidP="004E55BD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E55BD" w:rsidRDefault="004E55BD" w:rsidP="004E55BD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E55BD" w:rsidRDefault="004E55BD" w:rsidP="004E55BD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E55BD" w:rsidTr="004E55BD">
        <w:trPr>
          <w:jc w:val="center"/>
        </w:trPr>
        <w:tc>
          <w:tcPr>
            <w:tcW w:w="4317" w:type="dxa"/>
          </w:tcPr>
          <w:p w:rsidR="004E55BD" w:rsidRDefault="004E55BD" w:rsidP="004E55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E55BD" w:rsidRDefault="004E55BD" w:rsidP="004E55BD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E55BD" w:rsidRDefault="004E55BD" w:rsidP="004E55BD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E55BD" w:rsidRDefault="004E55BD" w:rsidP="004E55B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55BD" w:rsidRDefault="004E55BD" w:rsidP="004E55BD">
      <w:pPr>
        <w:spacing w:line="360" w:lineRule="auto"/>
        <w:ind w:firstLine="540"/>
        <w:jc w:val="both"/>
        <w:rPr>
          <w:sz w:val="18"/>
          <w:szCs w:val="18"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lastRenderedPageBreak/>
        <w:t xml:space="preserve">Приложение 1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36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</w:p>
          <w:p w:rsidR="004E55BD" w:rsidRPr="00F475D9" w:rsidRDefault="004E55BD" w:rsidP="004E55BD">
            <w:pPr>
              <w:rPr>
                <w:sz w:val="22"/>
                <w:szCs w:val="22"/>
              </w:rPr>
            </w:pP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r>
              <w:t>№410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1587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1260</w:t>
            </w:r>
          </w:p>
        </w:tc>
      </w:tr>
      <w:tr w:rsidR="004E55BD" w:rsidRPr="00AD651B" w:rsidTr="004E55BD">
        <w:trPr>
          <w:trHeight w:val="2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2188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1750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1841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1470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576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460</w:t>
            </w:r>
          </w:p>
        </w:tc>
      </w:tr>
      <w:tr w:rsidR="004E55BD" w:rsidRPr="00AD651B" w:rsidTr="004E55BD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515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410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1122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890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1650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1300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1083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center"/>
            </w:pPr>
            <w:r>
              <w:t>860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180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140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190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554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440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146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110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756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600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285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220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90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288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9146F" w:rsidRDefault="004E55BD" w:rsidP="004E55BD">
            <w:pPr>
              <w:jc w:val="center"/>
            </w:pPr>
            <w:r>
              <w:t>230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13114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10420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Главы </w:t>
            </w:r>
            <w:proofErr w:type="spellStart"/>
            <w:r>
              <w:rPr>
                <w:b/>
              </w:rPr>
              <w:t>Верхнекетского</w:t>
            </w:r>
            <w:proofErr w:type="spellEnd"/>
            <w:r>
              <w:rPr>
                <w:b/>
              </w:rPr>
              <w:t xml:space="preserve"> района МИК </w:t>
            </w:r>
            <w:proofErr w:type="spellStart"/>
            <w:r>
              <w:rPr>
                <w:b/>
              </w:rPr>
              <w:t>Верхнекетского</w:t>
            </w:r>
            <w:proofErr w:type="spellEnd"/>
            <w:r>
              <w:rPr>
                <w:b/>
              </w:rPr>
              <w:t xml:space="preserve"> района составил 2880 (две тысячи восемьсот  восемьдесят) штук.</w:t>
            </w:r>
          </w:p>
        </w:tc>
      </w:tr>
    </w:tbl>
    <w:p w:rsidR="004E55BD" w:rsidRDefault="004E55BD" w:rsidP="004E55BD">
      <w:pPr>
        <w:pStyle w:val="1"/>
      </w:pPr>
    </w:p>
    <w:p w:rsidR="004E55BD" w:rsidRPr="00237A32" w:rsidRDefault="004E55BD" w:rsidP="004E55BD">
      <w:pPr>
        <w:sectPr w:rsidR="004E55BD" w:rsidRPr="00237A32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2</w:t>
      </w:r>
      <w:r w:rsidRPr="00237A32">
        <w:rPr>
          <w:b w:val="0"/>
          <w:sz w:val="24"/>
        </w:rPr>
        <w:t xml:space="preserve">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1800"/>
        <w:gridCol w:w="18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Главы </w:t>
            </w:r>
            <w:proofErr w:type="spellStart"/>
            <w:r>
              <w:rPr>
                <w:b/>
                <w:sz w:val="22"/>
                <w:szCs w:val="22"/>
              </w:rPr>
              <w:t>Сайгинского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4E55BD" w:rsidRPr="00A9146F" w:rsidRDefault="004E55BD" w:rsidP="004E55B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Сайгинского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756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600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Главы </w:t>
            </w:r>
            <w:proofErr w:type="spellStart"/>
            <w:r>
              <w:rPr>
                <w:b/>
              </w:rPr>
              <w:t>Сайгинского</w:t>
            </w:r>
            <w:proofErr w:type="spellEnd"/>
            <w:r>
              <w:rPr>
                <w:b/>
              </w:rPr>
              <w:t xml:space="preserve"> сельского поселения МИК </w:t>
            </w:r>
            <w:proofErr w:type="spellStart"/>
            <w:r>
              <w:rPr>
                <w:b/>
              </w:rPr>
              <w:t>Сайгинского</w:t>
            </w:r>
            <w:proofErr w:type="spellEnd"/>
            <w:r>
              <w:rPr>
                <w:b/>
              </w:rPr>
              <w:t xml:space="preserve"> сельского поселения составил 160 (сто шестьдесят) штук, на выборах депутатов Совета </w:t>
            </w:r>
            <w:proofErr w:type="spellStart"/>
            <w:r>
              <w:rPr>
                <w:b/>
              </w:rPr>
              <w:t>Сайгинского</w:t>
            </w:r>
            <w:proofErr w:type="spellEnd"/>
            <w:r>
              <w:rPr>
                <w:b/>
              </w:rPr>
              <w:t xml:space="preserve"> сельского поселения составил 160 (сто шестьдесят)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jc w:val="both"/>
        <w:rPr>
          <w:b w:val="0"/>
          <w:caps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 xml:space="preserve">3 </w:t>
      </w:r>
      <w:r w:rsidRPr="00237A32">
        <w:rPr>
          <w:b w:val="0"/>
          <w:sz w:val="24"/>
        </w:rPr>
        <w:t xml:space="preserve">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2880"/>
        <w:gridCol w:w="1980"/>
        <w:gridCol w:w="216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Белоярского городского поселения </w:t>
            </w:r>
          </w:p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</w:p>
        </w:tc>
      </w:tr>
      <w:tr w:rsidR="004E55BD" w:rsidRPr="00F475D9" w:rsidTr="004E55BD">
        <w:trPr>
          <w:cantSplit/>
          <w:trHeight w:val="14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пятимандатному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пятимандатному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№2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r>
              <w:t>№410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1587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1260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Default="004E55BD" w:rsidP="004E55BD">
            <w:pPr>
              <w:jc w:val="center"/>
            </w:pPr>
            <w:r>
              <w:t>1750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1841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1470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Default="004E55BD" w:rsidP="004E55BD">
            <w:pPr>
              <w:jc w:val="center"/>
            </w:pP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460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515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410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6707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2730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2620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Белоярского городского поселения по </w:t>
            </w:r>
            <w:proofErr w:type="spellStart"/>
            <w:r>
              <w:rPr>
                <w:b/>
              </w:rPr>
              <w:t>пятимандатному</w:t>
            </w:r>
            <w:proofErr w:type="spellEnd"/>
            <w:r>
              <w:rPr>
                <w:b/>
              </w:rPr>
              <w:t xml:space="preserve"> избирательному округу №1 составил 740 (семьсот сорок) штук, по </w:t>
            </w:r>
            <w:proofErr w:type="spellStart"/>
            <w:r>
              <w:rPr>
                <w:b/>
              </w:rPr>
              <w:t>пятимандатному</w:t>
            </w:r>
            <w:proofErr w:type="spellEnd"/>
            <w:r>
              <w:rPr>
                <w:b/>
              </w:rPr>
              <w:t xml:space="preserve"> избирательному округу №2 составил 700 (семьсот)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jc w:val="both"/>
        <w:rPr>
          <w:b w:val="0"/>
          <w:caps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4</w:t>
      </w:r>
      <w:r w:rsidRPr="00237A32">
        <w:rPr>
          <w:b w:val="0"/>
          <w:sz w:val="24"/>
        </w:rPr>
        <w:t xml:space="preserve">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36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Катайгинского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1122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890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Катайгинского</w:t>
            </w:r>
            <w:proofErr w:type="spellEnd"/>
            <w:r>
              <w:rPr>
                <w:b/>
              </w:rPr>
              <w:t xml:space="preserve">  сельского поселения составил 240 (двести сорок)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jc w:val="both"/>
        <w:rPr>
          <w:b w:val="0"/>
          <w:caps/>
        </w:rPr>
      </w:pPr>
    </w:p>
    <w:p w:rsidR="004E55BD" w:rsidRDefault="004E55BD" w:rsidP="004E55BD">
      <w:p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Default="004E55BD" w:rsidP="004E55BD"/>
    <w:p w:rsidR="004E55BD" w:rsidRDefault="004E55BD" w:rsidP="004E55BD"/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5</w:t>
      </w:r>
      <w:r w:rsidRPr="00237A32">
        <w:rPr>
          <w:b w:val="0"/>
          <w:sz w:val="24"/>
        </w:rPr>
        <w:t xml:space="preserve">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36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Степановского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1650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1300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Степановского</w:t>
            </w:r>
            <w:proofErr w:type="spellEnd"/>
            <w:r>
              <w:rPr>
                <w:b/>
              </w:rPr>
              <w:t xml:space="preserve"> сельского поселения составил 370 (триста семьдесят)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Default="004E55BD" w:rsidP="004E55BD"/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6</w:t>
      </w:r>
      <w:r w:rsidRPr="00237A32">
        <w:rPr>
          <w:b w:val="0"/>
          <w:sz w:val="24"/>
        </w:rPr>
        <w:t xml:space="preserve">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36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Клюквинского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1083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860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1083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Клюквинского</w:t>
            </w:r>
            <w:proofErr w:type="spellEnd"/>
            <w:r>
              <w:rPr>
                <w:b/>
              </w:rPr>
              <w:t xml:space="preserve"> сельского поселения составил 230 (двести тридцать)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ind w:left="4500"/>
        <w:jc w:val="both"/>
        <w:rPr>
          <w:b w:val="0"/>
          <w:sz w:val="24"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Default="004E55BD" w:rsidP="004E55BD">
      <w:pPr>
        <w:pStyle w:val="1"/>
        <w:ind w:left="4500"/>
        <w:jc w:val="both"/>
        <w:rPr>
          <w:b w:val="0"/>
          <w:sz w:val="24"/>
        </w:r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 xml:space="preserve">7 </w:t>
      </w:r>
      <w:r w:rsidRPr="00237A32">
        <w:rPr>
          <w:b w:val="0"/>
          <w:sz w:val="24"/>
        </w:rPr>
        <w:t xml:space="preserve">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2880"/>
        <w:gridCol w:w="1980"/>
        <w:gridCol w:w="216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Орловского сельского поселения </w:t>
            </w:r>
          </w:p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</w:p>
        </w:tc>
      </w:tr>
      <w:tr w:rsidR="004E55BD" w:rsidRPr="00F475D9" w:rsidTr="004E55BD">
        <w:trPr>
          <w:cantSplit/>
          <w:trHeight w:val="14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четырехмандатному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трехмандатному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№2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r>
              <w:t>№418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140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Default="004E55BD" w:rsidP="004E55BD">
            <w:pPr>
              <w:jc w:val="center"/>
            </w:pP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Орловского сельского поселения по </w:t>
            </w:r>
            <w:proofErr w:type="spellStart"/>
            <w:r>
              <w:rPr>
                <w:b/>
              </w:rPr>
              <w:t>четырехмандатному</w:t>
            </w:r>
            <w:proofErr w:type="spellEnd"/>
            <w:r>
              <w:rPr>
                <w:b/>
              </w:rPr>
              <w:t xml:space="preserve"> избирательному округу №1 составил  55  (пятьдесят пять) штук, по </w:t>
            </w:r>
            <w:proofErr w:type="spellStart"/>
            <w:r>
              <w:rPr>
                <w:b/>
              </w:rPr>
              <w:t>трехмандатному</w:t>
            </w:r>
            <w:proofErr w:type="spellEnd"/>
            <w:r>
              <w:rPr>
                <w:b/>
              </w:rPr>
              <w:t xml:space="preserve"> избирательному округу №2 составил  42  (сорок два) штуки.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Default="004E55BD" w:rsidP="004E55BD"/>
    <w:p w:rsidR="004E55BD" w:rsidRDefault="004E55BD" w:rsidP="004E55BD"/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Pr="00237A32">
        <w:rPr>
          <w:b w:val="0"/>
          <w:sz w:val="24"/>
        </w:rPr>
        <w:t xml:space="preserve">риложение </w:t>
      </w:r>
      <w:r>
        <w:rPr>
          <w:b w:val="0"/>
          <w:sz w:val="24"/>
        </w:rPr>
        <w:t xml:space="preserve">8 </w:t>
      </w:r>
      <w:r w:rsidRPr="00237A32">
        <w:rPr>
          <w:b w:val="0"/>
          <w:sz w:val="24"/>
        </w:rPr>
        <w:t xml:space="preserve">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2880"/>
        <w:gridCol w:w="1980"/>
        <w:gridCol w:w="216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Ягоднинского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 сельского поселения </w:t>
            </w:r>
          </w:p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</w:p>
        </w:tc>
      </w:tr>
      <w:tr w:rsidR="004E55BD" w:rsidRPr="00F475D9" w:rsidTr="004E55BD">
        <w:trPr>
          <w:cantSplit/>
          <w:trHeight w:val="14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семимандатному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трехмандатному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№2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r>
              <w:t>№420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440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Default="004E55BD" w:rsidP="004E55BD">
            <w:pPr>
              <w:jc w:val="center"/>
            </w:pPr>
            <w:r>
              <w:t>110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Ягоднинского</w:t>
            </w:r>
            <w:proofErr w:type="spellEnd"/>
            <w:r>
              <w:rPr>
                <w:b/>
              </w:rPr>
              <w:t xml:space="preserve"> сельского поселения по </w:t>
            </w:r>
            <w:proofErr w:type="spellStart"/>
            <w:r>
              <w:rPr>
                <w:b/>
              </w:rPr>
              <w:t>семимандатному</w:t>
            </w:r>
            <w:proofErr w:type="spellEnd"/>
            <w:r>
              <w:rPr>
                <w:b/>
              </w:rPr>
              <w:t xml:space="preserve"> избирательному округу №1 составил  120  (сто двадцать) штук, по </w:t>
            </w:r>
            <w:proofErr w:type="spellStart"/>
            <w:r>
              <w:rPr>
                <w:b/>
              </w:rPr>
              <w:t>трехмандатному</w:t>
            </w:r>
            <w:proofErr w:type="spellEnd"/>
            <w:r>
              <w:rPr>
                <w:b/>
              </w:rPr>
              <w:t xml:space="preserve"> избирательному округу №2 составил  38  (тридцать восемь) штуки.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Pr="0004685E" w:rsidRDefault="004E55BD" w:rsidP="004E55BD">
      <w:pPr>
        <w:sectPr w:rsidR="004E55BD" w:rsidRPr="0004685E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 xml:space="preserve">9 </w:t>
      </w:r>
      <w:r w:rsidRPr="00237A32">
        <w:rPr>
          <w:b w:val="0"/>
          <w:sz w:val="24"/>
        </w:rPr>
        <w:t xml:space="preserve">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2880"/>
        <w:gridCol w:w="1980"/>
        <w:gridCol w:w="216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Макзырского</w:t>
            </w:r>
            <w:proofErr w:type="spellEnd"/>
            <w:r>
              <w:rPr>
                <w:b/>
                <w:sz w:val="22"/>
                <w:szCs w:val="22"/>
              </w:rPr>
              <w:t xml:space="preserve">  сельского поселения </w:t>
            </w:r>
          </w:p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</w:p>
        </w:tc>
      </w:tr>
      <w:tr w:rsidR="004E55BD" w:rsidRPr="00F475D9" w:rsidTr="004E55BD">
        <w:trPr>
          <w:cantSplit/>
          <w:trHeight w:val="14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пятимандатному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двухмандатному избирательному округу №2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r>
              <w:t>№423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jc w:val="center"/>
            </w:pPr>
            <w: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  <w: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AD651B" w:rsidRDefault="004E55BD" w:rsidP="004E55BD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Default="004E55BD" w:rsidP="004E55BD">
            <w:pPr>
              <w:jc w:val="center"/>
            </w:pPr>
            <w:r>
              <w:t>90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Макзырского</w:t>
            </w:r>
            <w:proofErr w:type="spellEnd"/>
            <w:r>
              <w:rPr>
                <w:b/>
              </w:rPr>
              <w:t xml:space="preserve"> сельского поселения по </w:t>
            </w:r>
            <w:proofErr w:type="spellStart"/>
            <w:r>
              <w:rPr>
                <w:b/>
              </w:rPr>
              <w:t>пятимандатному</w:t>
            </w:r>
            <w:proofErr w:type="spellEnd"/>
            <w:r>
              <w:rPr>
                <w:b/>
              </w:rPr>
              <w:t xml:space="preserve"> избирательному округу №1 составил  69  (шестьдесят девять) штук, по двухмандатному избирательному округу №2 составил  14  (четырнадцать)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ind w:left="4500"/>
        <w:jc w:val="both"/>
        <w:rPr>
          <w:b w:val="0"/>
          <w:sz w:val="24"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E55BD" w:rsidRDefault="004E55BD" w:rsidP="004E55BD">
      <w:pPr>
        <w:pStyle w:val="1"/>
        <w:ind w:left="4500"/>
        <w:jc w:val="both"/>
        <w:rPr>
          <w:b w:val="0"/>
          <w:sz w:val="24"/>
        </w:rPr>
      </w:pPr>
    </w:p>
    <w:p w:rsidR="004E55BD" w:rsidRPr="00237A32" w:rsidRDefault="004E55BD" w:rsidP="004E55BD">
      <w:pPr>
        <w:pStyle w:val="1"/>
        <w:ind w:left="4500"/>
        <w:jc w:val="both"/>
        <w:rPr>
          <w:b w:val="0"/>
          <w:sz w:val="24"/>
        </w:rPr>
      </w:pPr>
      <w:r w:rsidRPr="00237A32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10</w:t>
      </w:r>
      <w:r w:rsidRPr="00237A32">
        <w:rPr>
          <w:b w:val="0"/>
          <w:sz w:val="24"/>
        </w:rPr>
        <w:t xml:space="preserve">  к решению  муниципальной избирательной комиссии </w:t>
      </w:r>
      <w:proofErr w:type="spellStart"/>
      <w:r w:rsidRPr="00237A32">
        <w:rPr>
          <w:b w:val="0"/>
          <w:sz w:val="24"/>
        </w:rPr>
        <w:t>Верхнекетского</w:t>
      </w:r>
      <w:proofErr w:type="spellEnd"/>
      <w:r w:rsidRPr="00237A32">
        <w:rPr>
          <w:b w:val="0"/>
          <w:sz w:val="24"/>
        </w:rPr>
        <w:t xml:space="preserve"> района от 11.08.2017 года № 07/23</w:t>
      </w:r>
    </w:p>
    <w:p w:rsidR="004E55BD" w:rsidRDefault="004E55BD" w:rsidP="004E55BD"/>
    <w:p w:rsidR="004E55BD" w:rsidRDefault="004E55BD" w:rsidP="004E55BD"/>
    <w:p w:rsidR="004E55BD" w:rsidRDefault="004E55BD" w:rsidP="004E55BD"/>
    <w:tbl>
      <w:tblPr>
        <w:tblW w:w="9360" w:type="dxa"/>
        <w:tblInd w:w="288" w:type="dxa"/>
        <w:tblLayout w:type="fixed"/>
        <w:tblLook w:val="00A0"/>
      </w:tblPr>
      <w:tblGrid>
        <w:gridCol w:w="2340"/>
        <w:gridCol w:w="3420"/>
        <w:gridCol w:w="3600"/>
      </w:tblGrid>
      <w:tr w:rsidR="004E55BD" w:rsidRPr="00F475D9" w:rsidTr="004E55BD">
        <w:trPr>
          <w:cantSplit/>
          <w:trHeight w:val="2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Наименование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участковой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избирательной комиссии (</w:t>
            </w:r>
            <w:r>
              <w:rPr>
                <w:sz w:val="20"/>
              </w:rPr>
              <w:t>УИК</w:t>
            </w:r>
            <w:r w:rsidRPr="008408BD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 xml:space="preserve">Сведения о численности </w:t>
            </w:r>
            <w:proofErr w:type="gramStart"/>
            <w:r w:rsidRPr="008408BD">
              <w:t>зарегистрированных</w:t>
            </w:r>
            <w:proofErr w:type="gramEnd"/>
          </w:p>
          <w:p w:rsidR="004E55BD" w:rsidRPr="008408BD" w:rsidRDefault="004E55BD" w:rsidP="004E55BD">
            <w:pPr>
              <w:pStyle w:val="23"/>
              <w:spacing w:after="0" w:line="240" w:lineRule="auto"/>
              <w:ind w:left="0"/>
              <w:jc w:val="center"/>
            </w:pPr>
            <w:r w:rsidRPr="008408BD">
              <w:t>избирателей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(по состоянию</w:t>
            </w:r>
            <w:proofErr w:type="gramEnd"/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r w:rsidRPr="008408BD">
              <w:rPr>
                <w:sz w:val="20"/>
              </w:rPr>
              <w:t>на 1 июля</w:t>
            </w:r>
          </w:p>
          <w:p w:rsidR="004E55BD" w:rsidRPr="008408BD" w:rsidRDefault="004E55BD" w:rsidP="004E55BD">
            <w:pPr>
              <w:jc w:val="center"/>
              <w:rPr>
                <w:sz w:val="20"/>
              </w:rPr>
            </w:pPr>
            <w:proofErr w:type="gramStart"/>
            <w:r w:rsidRPr="008408BD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8408BD">
              <w:rPr>
                <w:sz w:val="20"/>
              </w:rPr>
              <w:t xml:space="preserve"> года)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F475D9" w:rsidRDefault="004E55BD" w:rsidP="004E55BD">
            <w:pPr>
              <w:jc w:val="center"/>
              <w:rPr>
                <w:sz w:val="22"/>
                <w:szCs w:val="22"/>
              </w:rPr>
            </w:pPr>
            <w:r w:rsidRPr="00F475D9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 xml:space="preserve">передаваемых </w:t>
            </w:r>
            <w:r w:rsidRPr="00F475D9">
              <w:rPr>
                <w:b/>
                <w:sz w:val="22"/>
                <w:szCs w:val="22"/>
              </w:rPr>
              <w:t>избирательных бюллетеней</w:t>
            </w:r>
            <w:r>
              <w:rPr>
                <w:b/>
                <w:sz w:val="22"/>
                <w:szCs w:val="22"/>
              </w:rPr>
              <w:t xml:space="preserve"> для голосования на выборах депутатов Совета </w:t>
            </w:r>
            <w:proofErr w:type="spellStart"/>
            <w:r>
              <w:rPr>
                <w:b/>
                <w:sz w:val="22"/>
                <w:szCs w:val="22"/>
              </w:rPr>
              <w:t>Палочкинского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4E55BD" w:rsidRPr="00A9146F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AD651B" w:rsidRDefault="004E55BD" w:rsidP="004E55BD">
            <w:pPr>
              <w:shd w:val="clear" w:color="auto" w:fill="FFFFFF"/>
            </w:pPr>
            <w:r>
              <w:t>№425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C24708" w:rsidRDefault="004E55BD" w:rsidP="004E55BD">
            <w:pPr>
              <w:jc w:val="center"/>
            </w:pPr>
            <w:r>
              <w:t>288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9146F" w:rsidRDefault="004E55BD" w:rsidP="004E55BD">
            <w:pPr>
              <w:jc w:val="center"/>
            </w:pPr>
            <w:r>
              <w:t>230</w:t>
            </w:r>
          </w:p>
        </w:tc>
      </w:tr>
      <w:tr w:rsidR="004E55BD" w:rsidRPr="00AD651B" w:rsidTr="004E55BD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Pr="00475521" w:rsidRDefault="004E55BD" w:rsidP="004E55BD">
            <w:pPr>
              <w:shd w:val="clear" w:color="auto" w:fill="FFFFFF"/>
              <w:rPr>
                <w:b/>
              </w:rPr>
            </w:pPr>
            <w:r w:rsidRPr="00475521">
              <w:rPr>
                <w:b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5BD" w:rsidRPr="00475521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BD" w:rsidRPr="00AD651B" w:rsidRDefault="004E55BD" w:rsidP="004E55BD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4E55BD" w:rsidRPr="00AD651B" w:rsidTr="004E55BD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BD" w:rsidRDefault="004E55BD" w:rsidP="004E55BD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избирательных бюллетеней для голосования на выборах депутатов Совета </w:t>
            </w:r>
            <w:proofErr w:type="spellStart"/>
            <w:r>
              <w:rPr>
                <w:b/>
              </w:rPr>
              <w:t>Палочкинского</w:t>
            </w:r>
            <w:proofErr w:type="spellEnd"/>
            <w:r>
              <w:rPr>
                <w:b/>
              </w:rPr>
              <w:t xml:space="preserve">  сельского поселения составил 60 (шестьдесят) штук.</w:t>
            </w:r>
          </w:p>
          <w:p w:rsidR="004E55BD" w:rsidRPr="00AD651B" w:rsidRDefault="004E55BD" w:rsidP="004E55BD">
            <w:pPr>
              <w:jc w:val="both"/>
              <w:rPr>
                <w:b/>
              </w:rPr>
            </w:pPr>
          </w:p>
        </w:tc>
      </w:tr>
    </w:tbl>
    <w:p w:rsidR="004E55BD" w:rsidRDefault="004E55BD" w:rsidP="004E55BD">
      <w:pPr>
        <w:pStyle w:val="1"/>
        <w:jc w:val="both"/>
        <w:rPr>
          <w:b w:val="0"/>
          <w:caps/>
        </w:rPr>
        <w:sectPr w:rsidR="004E55BD" w:rsidSect="004E55BD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E2602E" w:rsidRDefault="00E2602E"/>
    <w:sectPr w:rsidR="00E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7C" w:rsidRDefault="006F397C">
      <w:r>
        <w:separator/>
      </w:r>
    </w:p>
  </w:endnote>
  <w:endnote w:type="continuationSeparator" w:id="0">
    <w:p w:rsidR="006F397C" w:rsidRDefault="006F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7C" w:rsidRDefault="006F397C">
      <w:r>
        <w:separator/>
      </w:r>
    </w:p>
  </w:footnote>
  <w:footnote w:type="continuationSeparator" w:id="0">
    <w:p w:rsidR="006F397C" w:rsidRDefault="006F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BD"/>
    <w:rsid w:val="004E55BD"/>
    <w:rsid w:val="005B7B33"/>
    <w:rsid w:val="006F397C"/>
    <w:rsid w:val="007D2EBB"/>
    <w:rsid w:val="008935AC"/>
    <w:rsid w:val="00A1332C"/>
    <w:rsid w:val="00A6284D"/>
    <w:rsid w:val="00AE0429"/>
    <w:rsid w:val="00D834E4"/>
    <w:rsid w:val="00E2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5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5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5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E55BD"/>
    <w:rPr>
      <w:b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E55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E55B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rsid w:val="004E55BD"/>
    <w:rPr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4E55BD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rsid w:val="004E55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4E55B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 ВЕРХНЕКЕТСКОГО РАЙОНА</vt:lpstr>
    </vt:vector>
  </TitlesOfParts>
  <Company>Home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 ВЕРХНЕКЕТСКОГО РАЙОНА</dc:title>
  <dc:creator>Васильев В. А.</dc:creator>
  <cp:lastModifiedBy>Васильев В. А.</cp:lastModifiedBy>
  <cp:revision>2</cp:revision>
  <dcterms:created xsi:type="dcterms:W3CDTF">2017-08-15T01:52:00Z</dcterms:created>
  <dcterms:modified xsi:type="dcterms:W3CDTF">2017-08-15T01:52:00Z</dcterms:modified>
</cp:coreProperties>
</file>